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</w:rPr>
        <w:t xml:space="preserve">Форма</w:t>
      </w:r>
      <w:r>
        <w:rPr>
          <w:rFonts w:ascii="Times New Roman" w:hAnsi="Times New Roman" w:cs="Times New Roman"/>
          <w:bCs/>
          <w:lang w:val="en-US"/>
        </w:rPr>
        <w:t xml:space="preserve"> 5.1</w:t>
      </w:r>
      <w:r>
        <w:rPr>
          <w:rFonts w:ascii="Times New Roman" w:hAnsi="Times New Roman" w:cs="Times New Roman"/>
          <w:bCs/>
          <w:lang w:val="en-US"/>
        </w:rPr>
      </w:r>
    </w:p>
    <w:p>
      <w:pPr>
        <w:jc w:val="center"/>
        <w:keepLines/>
        <w:keepNext/>
        <w:spacing w:before="120" w:after="120" w:line="240" w:lineRule="auto"/>
        <w:shd w:val="clear" w:color="auto" w:fill="auto"/>
        <w:rPr>
          <w:rFonts w:ascii="Times New Roman" w:hAnsi="Times New Roman" w:cs="Times New Roman"/>
          <w:b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Дополнительные выборы депутата Совета депутатов муниципального округа город Кировск с подведомственной территорией  Мурманской области седьмого созыва по одномандатному округу № 15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</w:r>
    </w:p>
    <w:p>
      <w:pPr>
        <w:jc w:val="center"/>
        <w:keepLines/>
        <w:keepNext/>
        <w:spacing w:before="120" w:after="120" w:line="240" w:lineRule="auto"/>
        <w:shd w:val="clear" w:color="auto" w:fill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20.09.2026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jc w:val="center"/>
        <w:keepLines/>
        <w:keepNext/>
        <w:spacing w:before="120" w:after="120" w:line="240" w:lineRule="auto"/>
        <w:shd w:val="clear" w:color="auto" w:fill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СВЕДЕНИЯ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jc w:val="center"/>
        <w:keepLines/>
        <w:keepNext/>
        <w:spacing w:before="120" w:after="120" w:line="240" w:lineRule="auto"/>
        <w:shd w:val="clear" w:color="auto" w:fill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о выдвинутых и зарегистрированных кандидатах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(по состоянию на: </w:t>
      </w:r>
      <w:r>
        <w:rPr>
          <w:rFonts w:ascii="Times New Roman" w:hAnsi="Times New Roman" w:cs="Times New Roman"/>
          <w:sz w:val="24"/>
          <w:szCs w:val="24"/>
        </w:rPr>
        <w:t xml:space="preserve">04.08.2026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Мурманская область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</w:r>
    </w:p>
    <w:tbl>
      <w:tblPr>
        <w:tblW w:w="1530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8"/>
        <w:gridCol w:w="1851"/>
        <w:gridCol w:w="1280"/>
        <w:gridCol w:w="1280"/>
        <w:gridCol w:w="1684"/>
        <w:gridCol w:w="1276"/>
        <w:gridCol w:w="1276"/>
        <w:gridCol w:w="1701"/>
        <w:gridCol w:w="1417"/>
        <w:gridCol w:w="1417"/>
        <w:gridCol w:w="1418"/>
      </w:tblGrid>
      <w:tr>
        <w:tblPrEx/>
        <w:trPr/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689"/>
              <w:jc w:val="center"/>
              <w:spacing w:after="0" w:line="240" w:lineRule="auto"/>
              <w:rPr>
                <w:rFonts w:ascii="STIX Two Text" w:hAnsi="STIX Two Text" w:cs="STIX Two Text"/>
                <w:sz w:val="20"/>
              </w:rPr>
            </w:pPr>
            <w:r>
              <w:rPr>
                <w:rFonts w:ascii="STIX Two Text" w:hAnsi="STIX Two Text" w:eastAsia="STIX Two Text" w:cs="STIX Two Text"/>
                <w:sz w:val="20"/>
              </w:rPr>
              <w:t xml:space="preserve">№ п/п</w:t>
            </w:r>
            <w:r>
              <w:rPr>
                <w:rFonts w:ascii="STIX Two Text" w:hAnsi="STIX Two Text" w:cs="STIX Two Text"/>
                <w:sz w:val="20"/>
              </w:rPr>
            </w:r>
            <w:r>
              <w:rPr>
                <w:rFonts w:ascii="STIX Two Text" w:hAnsi="STIX Two Text" w:cs="STIX Two Text"/>
                <w:sz w:val="20"/>
              </w:rPr>
            </w:r>
          </w:p>
        </w:tc>
        <w:tc>
          <w:tcPr>
            <w:tcW w:w="1851" w:type="dxa"/>
            <w:vAlign w:val="center"/>
            <w:textDirection w:val="lrTb"/>
            <w:noWrap w:val="false"/>
          </w:tcPr>
          <w:p>
            <w:pPr>
              <w:pStyle w:val="689"/>
              <w:jc w:val="center"/>
              <w:spacing w:after="0" w:line="240" w:lineRule="auto"/>
              <w:rPr>
                <w:rFonts w:ascii="STIX Two Text" w:hAnsi="STIX Two Text" w:cs="STIX Two Text"/>
                <w:sz w:val="20"/>
              </w:rPr>
            </w:pPr>
            <w:r>
              <w:rPr>
                <w:rFonts w:ascii="STIX Two Text" w:hAnsi="STIX Two Text" w:eastAsia="STIX Two Text" w:cs="STIX Two Text"/>
                <w:sz w:val="20"/>
              </w:rPr>
              <w:t xml:space="preserve">Персональные данные кандидата</w:t>
            </w:r>
            <w:r>
              <w:rPr>
                <w:rFonts w:ascii="STIX Two Text" w:hAnsi="STIX Two Text" w:cs="STIX Two Text"/>
                <w:sz w:val="20"/>
              </w:rPr>
            </w:r>
            <w:r>
              <w:rPr>
                <w:rFonts w:ascii="STIX Two Text" w:hAnsi="STIX Two Text" w:cs="STIX Two Text"/>
                <w:sz w:val="20"/>
              </w:rPr>
            </w:r>
          </w:p>
        </w:tc>
        <w:tc>
          <w:tcPr>
            <w:tcW w:w="1280" w:type="dxa"/>
            <w:vAlign w:val="center"/>
            <w:textDirection w:val="lrTb"/>
            <w:noWrap w:val="false"/>
          </w:tcPr>
          <w:p>
            <w:pPr>
              <w:pStyle w:val="689"/>
              <w:jc w:val="center"/>
              <w:spacing w:after="0" w:line="240" w:lineRule="auto"/>
              <w:rPr>
                <w:rFonts w:ascii="STIX Two Text" w:hAnsi="STIX Two Text" w:cs="STIX Two Text"/>
                <w:sz w:val="20"/>
              </w:rPr>
            </w:pPr>
            <w:r>
              <w:rPr>
                <w:rFonts w:ascii="STIX Two Text" w:hAnsi="STIX Two Text" w:eastAsia="STIX Two Text" w:cs="STIX Two Text"/>
                <w:sz w:val="20"/>
              </w:rPr>
              <w:t xml:space="preserve">Принадлежность к общественному объединению</w:t>
            </w:r>
            <w:r>
              <w:rPr>
                <w:rFonts w:ascii="STIX Two Text" w:hAnsi="STIX Two Text" w:cs="STIX Two Text"/>
                <w:sz w:val="20"/>
              </w:rPr>
            </w:r>
            <w:r>
              <w:rPr>
                <w:rFonts w:ascii="STIX Two Text" w:hAnsi="STIX Two Text" w:cs="STIX Two Text"/>
                <w:sz w:val="20"/>
              </w:rPr>
            </w:r>
          </w:p>
        </w:tc>
        <w:tc>
          <w:tcPr>
            <w:tcW w:w="1280" w:type="dxa"/>
            <w:vAlign w:val="center"/>
            <w:textDirection w:val="lrTb"/>
            <w:noWrap w:val="false"/>
          </w:tcPr>
          <w:p>
            <w:pPr>
              <w:pStyle w:val="689"/>
              <w:jc w:val="center"/>
              <w:spacing w:after="0" w:line="240" w:lineRule="auto"/>
              <w:rPr>
                <w:rFonts w:ascii="STIX Two Text" w:hAnsi="STIX Two Text" w:cs="STIX Two Text"/>
                <w:sz w:val="20"/>
              </w:rPr>
            </w:pPr>
            <w:r>
              <w:rPr>
                <w:rFonts w:ascii="STIX Two Text" w:hAnsi="STIX Two Text" w:eastAsia="STIX Two Text" w:cs="STIX Two Text"/>
                <w:sz w:val="20"/>
              </w:rPr>
              <w:t xml:space="preserve">Субъект выдвижения</w:t>
            </w:r>
            <w:r>
              <w:rPr>
                <w:rFonts w:ascii="STIX Two Text" w:hAnsi="STIX Two Text" w:cs="STIX Two Text"/>
                <w:sz w:val="20"/>
              </w:rPr>
            </w:r>
            <w:r>
              <w:rPr>
                <w:rFonts w:ascii="STIX Two Text" w:hAnsi="STIX Two Text" w:cs="STIX Two Text"/>
                <w:sz w:val="20"/>
              </w:rPr>
            </w:r>
          </w:p>
        </w:tc>
        <w:tc>
          <w:tcPr>
            <w:tcW w:w="1684" w:type="dxa"/>
            <w:vAlign w:val="center"/>
            <w:textDirection w:val="lrTb"/>
            <w:noWrap w:val="false"/>
          </w:tcPr>
          <w:p>
            <w:pPr>
              <w:pStyle w:val="689"/>
              <w:jc w:val="center"/>
              <w:spacing w:after="0" w:line="240" w:lineRule="auto"/>
              <w:rPr>
                <w:rFonts w:ascii="STIX Two Text" w:hAnsi="STIX Two Text" w:cs="STIX Two Text"/>
                <w:sz w:val="20"/>
              </w:rPr>
            </w:pPr>
            <w:r>
              <w:rPr>
                <w:rFonts w:ascii="STIX Two Text" w:hAnsi="STIX Two Text" w:eastAsia="STIX Two Text" w:cs="STIX Two Text"/>
                <w:sz w:val="20"/>
              </w:rPr>
              <w:t xml:space="preserve">Дата выдвижения</w:t>
            </w:r>
            <w:r>
              <w:rPr>
                <w:rFonts w:ascii="STIX Two Text" w:hAnsi="STIX Two Text" w:cs="STIX Two Text"/>
                <w:sz w:val="20"/>
              </w:rPr>
            </w:r>
            <w:r>
              <w:rPr>
                <w:rFonts w:ascii="STIX Two Text" w:hAnsi="STIX Two Text" w:cs="STIX Two Text"/>
                <w:sz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9"/>
              <w:jc w:val="center"/>
              <w:spacing w:after="0" w:line="240" w:lineRule="auto"/>
              <w:rPr>
                <w:rFonts w:ascii="STIX Two Text" w:hAnsi="STIX Two Text" w:cs="STIX Two Text"/>
                <w:sz w:val="20"/>
              </w:rPr>
            </w:pPr>
            <w:r>
              <w:rPr>
                <w:rFonts w:ascii="STIX Two Text" w:hAnsi="STIX Two Text" w:eastAsia="STIX Two Text" w:cs="STIX Two Text"/>
                <w:sz w:val="20"/>
              </w:rPr>
              <w:t xml:space="preserve">Основание регистрации (для подписей - число)</w:t>
            </w:r>
            <w:r>
              <w:rPr>
                <w:rFonts w:ascii="STIX Two Text" w:hAnsi="STIX Two Text" w:cs="STIX Two Text"/>
                <w:sz w:val="20"/>
              </w:rPr>
            </w:r>
            <w:r>
              <w:rPr>
                <w:rFonts w:ascii="STIX Two Text" w:hAnsi="STIX Two Text" w:cs="STIX Two Text"/>
                <w:sz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9"/>
              <w:jc w:val="center"/>
              <w:spacing w:after="0" w:line="240" w:lineRule="auto"/>
              <w:rPr>
                <w:rFonts w:ascii="STIX Two Text" w:hAnsi="STIX Two Text" w:cs="STIX Two Text"/>
                <w:sz w:val="20"/>
              </w:rPr>
            </w:pPr>
            <w:r>
              <w:rPr>
                <w:rFonts w:ascii="STIX Two Text" w:hAnsi="STIX Two Text" w:eastAsia="STIX Two Text" w:cs="STIX Two Text"/>
                <w:sz w:val="20"/>
              </w:rPr>
              <w:t xml:space="preserve">Дата и номер постанов. о рег. / отмене выдв.</w:t>
            </w:r>
            <w:r>
              <w:rPr>
                <w:rFonts w:ascii="STIX Two Text" w:hAnsi="STIX Two Text" w:cs="STIX Two Text"/>
                <w:sz w:val="20"/>
              </w:rPr>
            </w:r>
            <w:r>
              <w:rPr>
                <w:rFonts w:ascii="STIX Two Text" w:hAnsi="STIX Two Text" w:cs="STIX Two Text"/>
                <w:sz w:val="20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89"/>
              <w:jc w:val="center"/>
              <w:spacing w:after="0" w:line="240" w:lineRule="auto"/>
              <w:rPr>
                <w:rFonts w:ascii="STIX Two Text" w:hAnsi="STIX Two Text" w:cs="STIX Two Text"/>
                <w:sz w:val="20"/>
              </w:rPr>
            </w:pPr>
            <w:r>
              <w:rPr>
                <w:rFonts w:ascii="STIX Two Text" w:hAnsi="STIX Two Text" w:eastAsia="STIX Two Text" w:cs="STIX Two Text"/>
                <w:sz w:val="20"/>
              </w:rPr>
              <w:t xml:space="preserve">Дата и номер постанов. о выбыт. зарег. канд.</w:t>
            </w:r>
            <w:r>
              <w:rPr>
                <w:rFonts w:ascii="STIX Two Text" w:hAnsi="STIX Two Text" w:cs="STIX Two Text"/>
                <w:sz w:val="20"/>
              </w:rPr>
            </w:r>
            <w:r>
              <w:rPr>
                <w:rFonts w:ascii="STIX Two Text" w:hAnsi="STIX Two Text" w:cs="STIX Two Text"/>
                <w:sz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89"/>
              <w:jc w:val="center"/>
              <w:spacing w:after="0" w:line="240" w:lineRule="auto"/>
              <w:rPr>
                <w:rFonts w:ascii="STIX Two Text" w:hAnsi="STIX Two Text" w:cs="STIX Two Text"/>
                <w:sz w:val="20"/>
              </w:rPr>
            </w:pPr>
            <w:r>
              <w:rPr>
                <w:rFonts w:ascii="STIX Two Text" w:hAnsi="STIX Two Text" w:eastAsia="STIX Two Text" w:cs="STIX Two Text"/>
                <w:sz w:val="20"/>
              </w:rPr>
              <w:t xml:space="preserve">Признак избрания</w:t>
            </w:r>
            <w:r>
              <w:rPr>
                <w:rFonts w:ascii="STIX Two Text" w:hAnsi="STIX Two Text" w:cs="STIX Two Text"/>
                <w:sz w:val="20"/>
              </w:rPr>
            </w:r>
            <w:r>
              <w:rPr>
                <w:rFonts w:ascii="STIX Two Text" w:hAnsi="STIX Two Text" w:cs="STIX Two Text"/>
                <w:sz w:val="2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89"/>
              <w:jc w:val="center"/>
              <w:spacing w:after="0" w:line="240" w:lineRule="auto"/>
              <w:rPr>
                <w:rFonts w:ascii="STIX Two Text" w:hAnsi="STIX Two Text" w:cs="STIX Two Text"/>
                <w:sz w:val="20"/>
              </w:rPr>
            </w:pPr>
            <w:r>
              <w:rPr>
                <w:rFonts w:ascii="STIX Two Text" w:hAnsi="STIX Two Text" w:eastAsia="STIX Two Text" w:cs="STIX Two Text"/>
                <w:sz w:val="20"/>
              </w:rPr>
              <w:t xml:space="preserve">Дата предоставления документов на регистрацию</w:t>
            </w:r>
            <w:r>
              <w:rPr>
                <w:rFonts w:ascii="STIX Two Text" w:hAnsi="STIX Two Text" w:cs="STIX Two Text"/>
                <w:sz w:val="20"/>
              </w:rPr>
            </w:r>
            <w:r>
              <w:rPr>
                <w:rFonts w:ascii="STIX Two Text" w:hAnsi="STIX Two Text" w:cs="STIX Two Text"/>
                <w:sz w:val="2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STIX Two Text" w:hAnsi="STIX Two Text" w:cs="STIX Two Text"/>
                <w:sz w:val="20"/>
                <w:szCs w:val="20"/>
              </w:rPr>
            </w:pPr>
            <w:r>
              <w:rPr>
                <w:rFonts w:ascii="STIX Two Text" w:hAnsi="STIX Two Text" w:eastAsia="STIX Two Text" w:cs="STIX Two Text"/>
                <w:sz w:val="20"/>
                <w:szCs w:val="20"/>
              </w:rPr>
              <w:t xml:space="preserve">Текущий статус</w:t>
            </w:r>
            <w:r>
              <w:rPr>
                <w:rFonts w:ascii="STIX Two Text" w:hAnsi="STIX Two Text" w:cs="STIX Two Text"/>
                <w:sz w:val="20"/>
                <w:szCs w:val="20"/>
              </w:rPr>
            </w:r>
            <w:r>
              <w:rPr>
                <w:rFonts w:ascii="STIX Two Text" w:hAnsi="STIX Two Text" w:cs="STIX Two Text"/>
                <w:sz w:val="20"/>
                <w:szCs w:val="20"/>
              </w:rPr>
            </w:r>
          </w:p>
        </w:tc>
      </w:tr>
      <w:tr>
        <w:tblPrEx/>
        <w:trPr/>
        <w:tc>
          <w:tcPr>
            <w:tcW w:w="708" w:type="dxa"/>
            <w:vAlign w:val="center"/>
            <w:vMerge w:val="restart"/>
            <w:textDirection w:val="lrTb"/>
            <w:noWrap w:val="false"/>
          </w:tcPr>
          <w:p>
            <w:pPr>
              <w:pStyle w:val="689"/>
              <w:jc w:val="center"/>
              <w:spacing w:after="0" w:line="240" w:lineRule="auto"/>
              <w:rPr>
                <w:rFonts w:ascii="STIX Two Text" w:hAnsi="STIX Two Text" w:eastAsia="STIX Two Text" w:cs="STIX Two Text"/>
                <w:sz w:val="20"/>
              </w:rPr>
            </w:pPr>
            <w:r>
              <w:rPr>
                <w:rFonts w:ascii="STIX Two Text" w:hAnsi="STIX Two Text" w:eastAsia="STIX Two Text" w:cs="STIX Two Text"/>
                <w:sz w:val="20"/>
              </w:rPr>
              <w:t xml:space="preserve">1</w:t>
            </w:r>
            <w:r>
              <w:rPr>
                <w:rFonts w:ascii="STIX Two Text" w:hAnsi="STIX Two Text" w:eastAsia="STIX Two Text" w:cs="STIX Two Text"/>
                <w:sz w:val="20"/>
              </w:rPr>
            </w:r>
          </w:p>
        </w:tc>
        <w:tc>
          <w:tcPr>
            <w:tcW w:w="1851" w:type="dxa"/>
            <w:vAlign w:val="center"/>
            <w:vMerge w:val="restart"/>
            <w:textDirection w:val="lrTb"/>
            <w:noWrap w:val="false"/>
          </w:tcPr>
          <w:p>
            <w:pPr>
              <w:pStyle w:val="689"/>
              <w:jc w:val="center"/>
              <w:spacing w:after="0" w:line="240" w:lineRule="auto"/>
              <w:rPr>
                <w:rFonts w:ascii="STIX Two Text" w:hAnsi="STIX Two Text" w:eastAsia="STIX Two Text" w:cs="STIX Two Text"/>
                <w:sz w:val="20"/>
              </w:rPr>
            </w:pPr>
            <w:r>
              <w:rPr>
                <w:rFonts w:ascii="STIX Two Text" w:hAnsi="STIX Two Text" w:eastAsia="STIX Two Text" w:cs="STIX Two Text"/>
                <w:sz w:val="20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Ваховский Владимир Александрович, дата рождения – 26.06.1982,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профессиональное образование – Федеральное государственное бюджетное образовательное учреждение высшего образования "Петрозаводский государственный университет",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основное место работы или службы, занимаемая должность / род занятий – Общество с ограниченно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ответственностью "Механик", Энергетик, место жительства – Мурманская область, город Кировск.</w:t>
            </w:r>
            <w:r>
              <w:rPr>
                <w:rFonts w:ascii="STIX Two Text" w:hAnsi="STIX Two Text" w:eastAsia="STIX Two Text" w:cs="STIX Two Text"/>
                <w:sz w:val="20"/>
              </w:rPr>
            </w:r>
          </w:p>
        </w:tc>
        <w:tc>
          <w:tcPr>
            <w:tcW w:w="1280" w:type="dxa"/>
            <w:vAlign w:val="center"/>
            <w:vMerge w:val="restart"/>
            <w:textDirection w:val="lrTb"/>
            <w:noWrap w:val="false"/>
          </w:tcPr>
          <w:p>
            <w:pPr>
              <w:pStyle w:val="689"/>
              <w:jc w:val="center"/>
              <w:spacing w:after="0" w:line="240" w:lineRule="auto"/>
              <w:rPr>
                <w:rFonts w:ascii="STIX Two Text" w:hAnsi="STIX Two Text" w:eastAsia="STIX Two Text" w:cs="STIX Two Text"/>
                <w:sz w:val="20"/>
              </w:rPr>
            </w:pPr>
            <w:r>
              <w:rPr>
                <w:rFonts w:ascii="STIX Two Text" w:hAnsi="STIX Two Text" w:eastAsia="STIX Two Text" w:cs="STIX Two Text"/>
                <w:sz w:val="20"/>
              </w:rPr>
            </w:r>
            <w:r>
              <w:rPr>
                <w:rFonts w:ascii="STIX Two Text" w:hAnsi="STIX Two Text" w:eastAsia="STIX Two Text" w:cs="STIX Two Text"/>
                <w:sz w:val="20"/>
              </w:rPr>
            </w:r>
          </w:p>
        </w:tc>
        <w:tc>
          <w:tcPr>
            <w:tcW w:w="12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Кировское местное отделение Всероссийской политической партии "ЕДИНАЯ РОССИЯ"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89"/>
              <w:jc w:val="center"/>
              <w:spacing w:after="0" w:line="240" w:lineRule="auto"/>
              <w:rPr>
                <w:rFonts w:ascii="STIX Two Text" w:hAnsi="STIX Two Text" w:eastAsia="STIX Two Text" w:cs="STIX Two Text"/>
                <w:sz w:val="20"/>
              </w:rPr>
            </w:pPr>
            <w:r>
              <w:rPr>
                <w:rFonts w:ascii="STIX Two Text" w:hAnsi="STIX Two Text" w:eastAsia="STIX Two Text" w:cs="STIX Two Text"/>
                <w:sz w:val="20"/>
              </w:rPr>
            </w:r>
            <w:r>
              <w:rPr>
                <w:rFonts w:ascii="STIX Two Text" w:hAnsi="STIX Two Text" w:eastAsia="STIX Two Text" w:cs="STIX Two Text"/>
                <w:sz w:val="20"/>
              </w:rPr>
            </w:r>
          </w:p>
        </w:tc>
        <w:tc>
          <w:tcPr>
            <w:tcW w:w="16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04.08.2026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89"/>
              <w:jc w:val="center"/>
              <w:spacing w:after="0" w:line="240" w:lineRule="auto"/>
              <w:rPr>
                <w:rFonts w:ascii="STIX Two Text" w:hAnsi="STIX Two Text" w:eastAsia="STIX Two Text" w:cs="STIX Two Text"/>
                <w:sz w:val="20"/>
              </w:rPr>
            </w:pPr>
            <w:r>
              <w:rPr>
                <w:rFonts w:ascii="STIX Two Text" w:hAnsi="STIX Two Text" w:eastAsia="STIX Two Text" w:cs="STIX Two Text"/>
                <w:sz w:val="20"/>
              </w:rPr>
            </w:r>
            <w:r>
              <w:rPr>
                <w:rFonts w:ascii="STIX Two Text" w:hAnsi="STIX Two Text" w:eastAsia="STIX Two Text" w:cs="STIX Two Text"/>
                <w:sz w:val="20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Style w:val="689"/>
              <w:jc w:val="center"/>
              <w:spacing w:after="0" w:line="240" w:lineRule="auto"/>
              <w:rPr>
                <w:rFonts w:ascii="STIX Two Text" w:hAnsi="STIX Two Text" w:eastAsia="STIX Two Text" w:cs="STIX Two Text"/>
                <w:sz w:val="20"/>
              </w:rPr>
            </w:pPr>
            <w:r>
              <w:rPr>
                <w:rFonts w:ascii="STIX Two Text" w:hAnsi="STIX Two Text" w:eastAsia="STIX Two Text" w:cs="STIX Two Text"/>
                <w:sz w:val="20"/>
              </w:rPr>
            </w:r>
            <w:r>
              <w:rPr>
                <w:rFonts w:ascii="STIX Two Text" w:hAnsi="STIX Two Text" w:eastAsia="STIX Two Text" w:cs="STIX Two Text"/>
                <w:sz w:val="20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Style w:val="689"/>
              <w:jc w:val="center"/>
              <w:spacing w:after="0" w:line="240" w:lineRule="auto"/>
              <w:rPr>
                <w:rFonts w:ascii="STIX Two Text" w:hAnsi="STIX Two Text" w:eastAsia="STIX Two Text" w:cs="STIX Two Text"/>
                <w:sz w:val="20"/>
              </w:rPr>
            </w:pPr>
            <w:r>
              <w:rPr>
                <w:rFonts w:ascii="STIX Two Text" w:hAnsi="STIX Two Text" w:eastAsia="STIX Two Text" w:cs="STIX Two Text"/>
                <w:sz w:val="20"/>
              </w:rPr>
            </w:r>
            <w:r>
              <w:rPr>
                <w:rFonts w:ascii="STIX Two Text" w:hAnsi="STIX Two Text" w:eastAsia="STIX Two Text" w:cs="STIX Two Text"/>
                <w:sz w:val="20"/>
              </w:rPr>
            </w:r>
          </w:p>
        </w:tc>
        <w:tc>
          <w:tcPr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Style w:val="689"/>
              <w:jc w:val="center"/>
              <w:spacing w:after="0" w:line="240" w:lineRule="auto"/>
              <w:rPr>
                <w:rFonts w:ascii="STIX Two Text" w:hAnsi="STIX Two Text" w:eastAsia="STIX Two Text" w:cs="STIX Two Text"/>
                <w:sz w:val="20"/>
              </w:rPr>
            </w:pPr>
            <w:r>
              <w:rPr>
                <w:rFonts w:ascii="STIX Two Text" w:hAnsi="STIX Two Text" w:eastAsia="STIX Two Text" w:cs="STIX Two Text"/>
                <w:sz w:val="20"/>
              </w:rPr>
            </w:r>
            <w:r>
              <w:rPr>
                <w:rFonts w:ascii="STIX Two Text" w:hAnsi="STIX Two Text" w:eastAsia="STIX Two Text" w:cs="STIX Two Text"/>
                <w:sz w:val="20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Style w:val="689"/>
              <w:jc w:val="center"/>
              <w:spacing w:after="0" w:line="240" w:lineRule="auto"/>
              <w:rPr>
                <w:rFonts w:ascii="STIX Two Text" w:hAnsi="STIX Two Text" w:eastAsia="STIX Two Text" w:cs="STIX Two Text"/>
                <w:sz w:val="20"/>
              </w:rPr>
            </w:pPr>
            <w:r>
              <w:rPr>
                <w:rFonts w:ascii="STIX Two Text" w:hAnsi="STIX Two Text" w:eastAsia="STIX Two Text" w:cs="STIX Two Text"/>
                <w:sz w:val="20"/>
              </w:rPr>
            </w:r>
            <w:r>
              <w:rPr>
                <w:rFonts w:ascii="STIX Two Text" w:hAnsi="STIX Two Text" w:eastAsia="STIX Two Text" w:cs="STIX Two Text"/>
                <w:sz w:val="20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04.08.2026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89"/>
              <w:jc w:val="center"/>
              <w:spacing w:after="0" w:line="240" w:lineRule="auto"/>
              <w:rPr>
                <w:rFonts w:ascii="STIX Two Text" w:hAnsi="STIX Two Text" w:eastAsia="STIX Two Text" w:cs="STIX Two Text"/>
                <w:sz w:val="20"/>
              </w:rPr>
            </w:pPr>
            <w:r>
              <w:rPr>
                <w:rFonts w:ascii="STIX Two Text" w:hAnsi="STIX Two Text" w:eastAsia="STIX Two Text" w:cs="STIX Two Text"/>
                <w:sz w:val="20"/>
              </w:rPr>
            </w:r>
            <w:r>
              <w:rPr>
                <w:rFonts w:ascii="STIX Two Text" w:hAnsi="STIX Two Text" w:eastAsia="STIX Two Text" w:cs="STIX Two Text"/>
                <w:sz w:val="20"/>
              </w:rPr>
            </w:r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Выдвинутый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STIX Two Text" w:hAnsi="STIX Two Text" w:eastAsia="STIX Two Text" w:cs="STIX Two Text"/>
                <w:sz w:val="20"/>
                <w:szCs w:val="20"/>
              </w:rPr>
            </w:pPr>
            <w:r>
              <w:rPr>
                <w:rFonts w:ascii="STIX Two Text" w:hAnsi="STIX Two Text" w:eastAsia="STIX Two Text" w:cs="STIX Two Text"/>
                <w:sz w:val="20"/>
                <w:szCs w:val="20"/>
              </w:rPr>
            </w:r>
            <w:r>
              <w:rPr>
                <w:rFonts w:ascii="STIX Two Text" w:hAnsi="STIX Two Text" w:eastAsia="STIX Two Text" w:cs="STIX Two Text"/>
                <w:sz w:val="20"/>
                <w:szCs w:val="20"/>
              </w:rPr>
            </w:r>
          </w:p>
        </w:tc>
      </w:tr>
    </w:tbl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p>
      <w:pPr>
        <w:rPr>
          <w:lang w:val="en-US"/>
        </w:rPr>
      </w:pPr>
      <w:r>
        <w:rPr>
          <w:lang w:val="en-US"/>
        </w:rPr>
      </w:r>
      <w:r/>
      <w:r>
        <w:rPr>
          <w:lang w:val="en-US"/>
        </w:rPr>
      </w:r>
    </w:p>
    <w:p>
      <w:pPr>
        <w:keepLines/>
        <w:keepNext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rFonts w:ascii="Times New Roman" w:hAnsi="Times New Roman" w:cs="Times New Roman"/>
          <w:bCs/>
          <w:sz w:val="24"/>
          <w:szCs w:val="24"/>
          <w:lang w:val="en-US"/>
        </w:rPr>
      </w:r>
    </w:p>
    <w:p>
      <w:pPr>
        <w:keepLines/>
        <w:keepNext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lang w:val="en-US"/>
        </w:rPr>
      </w:r>
      <w:r/>
      <w:r>
        <w:rPr>
          <w:rFonts w:ascii="Times New Roman" w:hAnsi="Times New Roman" w:cs="Times New Roman"/>
          <w:bCs/>
          <w:sz w:val="24"/>
          <w:szCs w:val="24"/>
          <w:lang w:val="en-US"/>
        </w:rPr>
      </w:r>
    </w:p>
    <w:p>
      <w:r/>
      <w:bookmarkStart w:id="1" w:name="_GoBack"/>
      <w:r/>
      <w:bookmarkEnd w:id="1"/>
      <w:r>
        <w:rPr>
          <w:lang w:val="en-US"/>
        </w:rPr>
      </w:r>
      <w:r/>
    </w:p>
    <w:sectPr>
      <w:footerReference w:type="default" r:id="rId8"/>
      <w:footnotePr/>
      <w:endnotePr/>
      <w:type w:val="nextPage"/>
      <w:pgSz w:w="16839" w:h="11907" w:orient="landscape"/>
      <w:pgMar w:top="426" w:right="851" w:bottom="851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6040504020204"/>
  </w:font>
  <w:font w:name="STIX Two Text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5"/>
      <w:jc w:val="right"/>
      <w:rPr>
        <w:rFonts w:ascii="Times New Roman" w:hAnsi="Times New Roman"/>
        <w:lang w:val="en-US"/>
      </w:rPr>
    </w:pPr>
    <w:r>
      <w:rPr>
        <w:rFonts w:ascii="Times New Roman" w:hAnsi="Times New Roman"/>
      </w:rPr>
      <w:t xml:space="preserve">Форма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t xml:space="preserve">5.1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04.08.2026 15:30</w:t>
    </w:r>
    <w:r>
      <w:rPr>
        <w:rFonts w:ascii="Times New Roman" w:hAnsi="Times New Roman" w:cs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Стр</w:t>
    </w:r>
    <w:r>
      <w:rPr>
        <w:rFonts w:ascii="Times New Roman" w:hAnsi="Times New Roman" w:cs="Times New Roman"/>
        <w:lang w:val="en-US"/>
      </w:rPr>
      <w:t xml:space="preserve">.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  <w:lang w:val="en-US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en-US"/>
      </w:rPr>
      <w:t xml:space="preserve">2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t xml:space="preserve"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>
      <w:rPr>
        <w:rFonts w:ascii="Times New Roman" w:hAnsi="Times New Roman"/>
        <w:lang w:val="en-US"/>
      </w:rPr>
      <w:t xml:space="preserve">5</w:t>
    </w:r>
    <w:r>
      <w:rPr>
        <w:rFonts w:ascii="Times New Roman" w:hAnsi="Times New Roman"/>
        <w:lang w:val="en-US"/>
      </w:rPr>
      <w:fldChar w:fldCharType="end"/>
    </w:r>
    <w:r>
      <w:rPr>
        <w:rFonts w:ascii="Times New Roman" w:hAnsi="Times New Roman"/>
        <w:lang w:val="en-US"/>
      </w:rPr>
    </w:r>
  </w:p>
  <w:p>
    <w:pPr>
      <w:pStyle w:val="695"/>
      <w:rPr>
        <w:lang w:val="en-US"/>
      </w:rPr>
    </w:pPr>
    <w:r>
      <w:rPr>
        <w:lang w:val="en-US"/>
      </w:rPr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90"/>
    <w:link w:val="702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90"/>
    <w:link w:val="703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90"/>
    <w:link w:val="70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90"/>
    <w:link w:val="70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90"/>
    <w:link w:val="70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90"/>
    <w:link w:val="70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89"/>
    <w:next w:val="68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90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89"/>
    <w:next w:val="68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90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89"/>
    <w:next w:val="68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90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8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89"/>
    <w:next w:val="689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90"/>
    <w:link w:val="35"/>
    <w:uiPriority w:val="10"/>
    <w:rPr>
      <w:sz w:val="48"/>
      <w:szCs w:val="48"/>
    </w:rPr>
  </w:style>
  <w:style w:type="paragraph" w:styleId="37">
    <w:name w:val="Subtitle"/>
    <w:basedOn w:val="689"/>
    <w:next w:val="689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90"/>
    <w:link w:val="37"/>
    <w:uiPriority w:val="11"/>
    <w:rPr>
      <w:sz w:val="24"/>
      <w:szCs w:val="24"/>
    </w:rPr>
  </w:style>
  <w:style w:type="paragraph" w:styleId="39">
    <w:name w:val="Quote"/>
    <w:basedOn w:val="689"/>
    <w:next w:val="68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89"/>
    <w:next w:val="68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90"/>
    <w:link w:val="693"/>
    <w:uiPriority w:val="99"/>
  </w:style>
  <w:style w:type="character" w:styleId="46">
    <w:name w:val="Footer Char"/>
    <w:basedOn w:val="690"/>
    <w:link w:val="695"/>
    <w:uiPriority w:val="99"/>
  </w:style>
  <w:style w:type="paragraph" w:styleId="47">
    <w:name w:val="Caption"/>
    <w:basedOn w:val="689"/>
    <w:next w:val="68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90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8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90"/>
    <w:uiPriority w:val="99"/>
    <w:unhideWhenUsed/>
    <w:rPr>
      <w:vertAlign w:val="superscript"/>
    </w:rPr>
  </w:style>
  <w:style w:type="paragraph" w:styleId="179">
    <w:name w:val="endnote text"/>
    <w:basedOn w:val="68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90"/>
    <w:uiPriority w:val="99"/>
    <w:semiHidden/>
    <w:unhideWhenUsed/>
    <w:rPr>
      <w:vertAlign w:val="superscript"/>
    </w:rPr>
  </w:style>
  <w:style w:type="paragraph" w:styleId="182">
    <w:name w:val="toc 1"/>
    <w:basedOn w:val="689"/>
    <w:next w:val="689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89"/>
    <w:next w:val="689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89"/>
    <w:next w:val="689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89"/>
    <w:next w:val="689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89"/>
    <w:next w:val="689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89"/>
    <w:next w:val="689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89"/>
    <w:next w:val="689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89"/>
    <w:next w:val="689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89"/>
    <w:next w:val="689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89"/>
    <w:next w:val="689"/>
    <w:uiPriority w:val="99"/>
    <w:unhideWhenUsed/>
    <w:pPr>
      <w:spacing w:after="0" w:afterAutospacing="0"/>
    </w:pPr>
  </w:style>
  <w:style w:type="paragraph" w:styleId="689" w:default="1">
    <w:name w:val="Normal"/>
    <w:qFormat/>
  </w:style>
  <w:style w:type="character" w:styleId="690" w:default="1">
    <w:name w:val="Default Paragraph Font"/>
    <w:uiPriority w:val="1"/>
    <w:semiHidden/>
    <w:unhideWhenUsed/>
  </w:style>
  <w:style w:type="table" w:styleId="6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2" w:default="1">
    <w:name w:val="No List"/>
    <w:uiPriority w:val="99"/>
    <w:semiHidden/>
    <w:unhideWhenUsed/>
  </w:style>
  <w:style w:type="paragraph" w:styleId="693">
    <w:name w:val="Header"/>
    <w:basedOn w:val="689"/>
    <w:link w:val="69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4" w:customStyle="1">
    <w:name w:val="Верхний колонтитул Знак"/>
    <w:basedOn w:val="690"/>
    <w:link w:val="693"/>
    <w:uiPriority w:val="99"/>
  </w:style>
  <w:style w:type="paragraph" w:styleId="695">
    <w:name w:val="Footer"/>
    <w:basedOn w:val="689"/>
    <w:link w:val="69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6" w:customStyle="1">
    <w:name w:val="Нижний колонтитул Знак"/>
    <w:basedOn w:val="690"/>
    <w:link w:val="695"/>
    <w:uiPriority w:val="99"/>
  </w:style>
  <w:style w:type="table" w:styleId="697">
    <w:name w:val="Table Grid"/>
    <w:basedOn w:val="69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98">
    <w:name w:val="Balloon Text"/>
    <w:basedOn w:val="689"/>
    <w:link w:val="69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99" w:customStyle="1">
    <w:name w:val="Текст выноски Знак"/>
    <w:basedOn w:val="690"/>
    <w:link w:val="698"/>
    <w:uiPriority w:val="99"/>
    <w:semiHidden/>
    <w:rPr>
      <w:rFonts w:ascii="Tahoma" w:hAnsi="Tahoma" w:cs="Tahoma"/>
      <w:sz w:val="16"/>
      <w:szCs w:val="16"/>
    </w:rPr>
  </w:style>
  <w:style w:type="character" w:styleId="700">
    <w:name w:val="line number"/>
    <w:basedOn w:val="690"/>
    <w:uiPriority w:val="99"/>
    <w:semiHidden/>
    <w:unhideWhenUsed/>
  </w:style>
  <w:style w:type="character" w:styleId="701">
    <w:name w:val="Hyperlink"/>
    <w:uiPriority w:val="99"/>
    <w:unhideWhenUsed/>
    <w:rPr>
      <w:color w:val="0000ff" w:themeColor="hyperlink"/>
      <w:u w:val="single"/>
    </w:rPr>
  </w:style>
  <w:style w:type="paragraph" w:styleId="702">
    <w:name w:val="Heading 1"/>
    <w:uiPriority w:val="9"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703">
    <w:name w:val="Heading 2"/>
    <w:uiPriority w:val="9"/>
    <w:unhideWhenUsed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704">
    <w:name w:val="Heading 3"/>
    <w:uiPriority w:val="9"/>
    <w:unhideWhenUsed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705">
    <w:name w:val="Heading 4"/>
    <w:uiPriority w:val="9"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706">
    <w:name w:val="Heading 5"/>
    <w:uiPriority w:val="9"/>
    <w:unhideWhenUsed/>
    <w:qFormat/>
    <w:pPr>
      <w:keepLines/>
      <w:keepNext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707">
    <w:name w:val="Heading 6"/>
    <w:uiPriority w:val="9"/>
    <w:unhideWhenUsed/>
    <w:qFormat/>
    <w:pPr>
      <w:keepLines/>
      <w:keepNext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BB5A6-F739-49E3-A09B-CD5730FFE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user</cp:lastModifiedBy>
  <cp:revision>48</cp:revision>
  <dcterms:created xsi:type="dcterms:W3CDTF">2024-04-25T11:47:00Z</dcterms:created>
  <dcterms:modified xsi:type="dcterms:W3CDTF">2026-08-04T13:16:10Z</dcterms:modified>
</cp:coreProperties>
</file>